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9D" w:rsidRDefault="0006689D" w:rsidP="0006689D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Приказ Министерства здравоохранения РК от 30.11.2022 № </w:t>
      </w:r>
      <w:r>
        <w:rPr>
          <w:rFonts w:ascii="Cambria" w:eastAsia="Times New Roman" w:hAnsi="Cambria" w:cs="Cambria"/>
        </w:rPr>
        <w:t>Қ</w:t>
      </w:r>
      <w:r>
        <w:rPr>
          <w:rFonts w:ascii="Georgia" w:eastAsia="Times New Roman" w:hAnsi="Georgia" w:cs="Georgia"/>
        </w:rPr>
        <w:t>Р</w:t>
      </w:r>
      <w:r>
        <w:rPr>
          <w:rFonts w:ascii="Georgia" w:eastAsia="Times New Roman" w:hAnsi="Georgia"/>
        </w:rPr>
        <w:t xml:space="preserve"> </w:t>
      </w:r>
      <w:r>
        <w:rPr>
          <w:rFonts w:ascii="Georgia" w:eastAsia="Times New Roman" w:hAnsi="Georgia" w:cs="Georgia"/>
        </w:rPr>
        <w:t>ДСМ</w:t>
      </w:r>
      <w:r>
        <w:rPr>
          <w:rFonts w:ascii="Georgia" w:eastAsia="Times New Roman" w:hAnsi="Georgia"/>
        </w:rPr>
        <w:t>-146</w:t>
      </w:r>
    </w:p>
    <w:p w:rsidR="0006689D" w:rsidRDefault="0006689D" w:rsidP="0006689D">
      <w:pPr>
        <w:pStyle w:val="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внесении изменений и дополнений в некоторые приказы Министерства здравоохранения Республики Казахстан</w:t>
      </w:r>
    </w:p>
    <w:p w:rsidR="0006689D" w:rsidRPr="0006689D" w:rsidRDefault="0006689D" w:rsidP="0006689D">
      <w:pPr>
        <w:spacing w:after="223"/>
        <w:jc w:val="right"/>
        <w:rPr>
          <w:rFonts w:ascii="Georgia" w:hAnsi="Georgia"/>
        </w:rPr>
      </w:pPr>
      <w:r w:rsidRPr="0006689D">
        <w:rPr>
          <w:rFonts w:ascii="Georgia" w:hAnsi="Georgia"/>
        </w:rPr>
        <w:t>Приложение 9</w:t>
      </w:r>
      <w:r w:rsidRPr="0006689D">
        <w:rPr>
          <w:rFonts w:ascii="Georgia" w:hAnsi="Georgia"/>
        </w:rPr>
        <w:br/>
        <w:t>к Перечню некоторых приказов</w:t>
      </w:r>
      <w:r w:rsidRPr="0006689D">
        <w:rPr>
          <w:rFonts w:ascii="Georgia" w:hAnsi="Georgia"/>
        </w:rPr>
        <w:br/>
        <w:t>Министерства здравоохранения</w:t>
      </w:r>
      <w:r w:rsidRPr="0006689D">
        <w:rPr>
          <w:rFonts w:ascii="Georgia" w:hAnsi="Georgia"/>
        </w:rPr>
        <w:br/>
        <w:t>Республики Казахстан, в которые</w:t>
      </w:r>
      <w:r w:rsidRPr="0006689D">
        <w:rPr>
          <w:rFonts w:ascii="Georgia" w:hAnsi="Georgia"/>
        </w:rPr>
        <w:br/>
        <w:t>вносятся изменения</w:t>
      </w:r>
    </w:p>
    <w:p w:rsidR="0006689D" w:rsidRPr="0006689D" w:rsidRDefault="0006689D" w:rsidP="0006689D">
      <w:pPr>
        <w:spacing w:after="223"/>
        <w:jc w:val="right"/>
        <w:rPr>
          <w:rFonts w:ascii="Georgia" w:hAnsi="Georgia"/>
        </w:rPr>
      </w:pPr>
      <w:r w:rsidRPr="0006689D">
        <w:rPr>
          <w:rFonts w:ascii="Georgia" w:hAnsi="Georgia"/>
        </w:rPr>
        <w:t>Приложение 1 к Правилам</w:t>
      </w:r>
      <w:r w:rsidRPr="0006689D">
        <w:rPr>
          <w:rFonts w:ascii="Georgia" w:hAnsi="Georgia"/>
        </w:rPr>
        <w:br/>
        <w:t>проведения экспертизы временной</w:t>
      </w:r>
      <w:r w:rsidRPr="0006689D">
        <w:rPr>
          <w:rFonts w:ascii="Georgia" w:hAnsi="Georgia"/>
        </w:rPr>
        <w:br/>
        <w:t>нетрудоспособности, выдачи листа</w:t>
      </w:r>
      <w:r w:rsidRPr="0006689D">
        <w:rPr>
          <w:rFonts w:ascii="Georgia" w:hAnsi="Georgia"/>
        </w:rPr>
        <w:br/>
        <w:t>или справки о временной</w:t>
      </w:r>
      <w:r w:rsidRPr="0006689D">
        <w:rPr>
          <w:rFonts w:ascii="Georgia" w:hAnsi="Georgia"/>
        </w:rPr>
        <w:br/>
        <w:t>нетрудоспособности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40"/>
        <w:gridCol w:w="3421"/>
        <w:gridCol w:w="5384"/>
      </w:tblGrid>
      <w:tr w:rsidR="0006689D" w:rsidRPr="0006689D" w:rsidTr="00EE65EF">
        <w:tc>
          <w:tcPr>
            <w:tcW w:w="5000" w:type="pct"/>
            <w:gridSpan w:val="3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rPr>
                <w:b/>
                <w:bCs/>
              </w:rPr>
              <w:t>Перечень основных требований к оказанию государственной услуги</w:t>
            </w:r>
            <w:r w:rsidRPr="0006689D">
              <w:rPr>
                <w:b/>
                <w:bCs/>
              </w:rPr>
              <w:br/>
              <w:t>"Выдача листа о временной нетрудоспособности"</w:t>
            </w:r>
          </w:p>
        </w:tc>
      </w:tr>
      <w:tr w:rsidR="0006689D" w:rsidRPr="0006689D" w:rsidTr="00EE65EF">
        <w:tc>
          <w:tcPr>
            <w:tcW w:w="1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1</w:t>
            </w:r>
          </w:p>
        </w:tc>
        <w:tc>
          <w:tcPr>
            <w:tcW w:w="19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 xml:space="preserve">Наименование </w:t>
            </w:r>
            <w:proofErr w:type="spellStart"/>
            <w:r w:rsidRPr="0006689D">
              <w:t>услугодателя</w:t>
            </w:r>
            <w:proofErr w:type="spellEnd"/>
          </w:p>
        </w:tc>
        <w:tc>
          <w:tcPr>
            <w:tcW w:w="28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Субъекты здравоохранения.</w:t>
            </w:r>
          </w:p>
        </w:tc>
      </w:tr>
      <w:tr w:rsidR="0006689D" w:rsidRPr="0006689D" w:rsidTr="00EE65EF">
        <w:tc>
          <w:tcPr>
            <w:tcW w:w="1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2</w:t>
            </w:r>
          </w:p>
        </w:tc>
        <w:tc>
          <w:tcPr>
            <w:tcW w:w="19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Способы предоставления государственной услуги</w:t>
            </w:r>
          </w:p>
        </w:tc>
        <w:tc>
          <w:tcPr>
            <w:tcW w:w="28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 xml:space="preserve">1) </w:t>
            </w:r>
            <w:proofErr w:type="spellStart"/>
            <w:r w:rsidRPr="0006689D">
              <w:t>услугодатель</w:t>
            </w:r>
            <w:proofErr w:type="spellEnd"/>
            <w:r w:rsidRPr="0006689D">
              <w:t xml:space="preserve"> (при непосредственных обращениях);</w:t>
            </w:r>
          </w:p>
          <w:p w:rsidR="0006689D" w:rsidRPr="0006689D" w:rsidRDefault="0006689D" w:rsidP="0006689D">
            <w:pPr>
              <w:spacing w:after="223"/>
              <w:jc w:val="both"/>
            </w:pPr>
            <w:r w:rsidRPr="0006689D">
              <w:t>2) веб-портал "Электронного правительства" (далее – портал).</w:t>
            </w:r>
          </w:p>
        </w:tc>
      </w:tr>
      <w:tr w:rsidR="0006689D" w:rsidRPr="0006689D" w:rsidTr="00EE65EF">
        <w:tc>
          <w:tcPr>
            <w:tcW w:w="1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3</w:t>
            </w:r>
          </w:p>
        </w:tc>
        <w:tc>
          <w:tcPr>
            <w:tcW w:w="19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Срок оказания государственной услуги</w:t>
            </w:r>
          </w:p>
        </w:tc>
        <w:tc>
          <w:tcPr>
            <w:tcW w:w="28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 xml:space="preserve">при самостоятельном обращении к </w:t>
            </w:r>
            <w:proofErr w:type="spellStart"/>
            <w:r w:rsidRPr="0006689D">
              <w:t>услугодателю</w:t>
            </w:r>
            <w:proofErr w:type="spellEnd"/>
            <w:r w:rsidRPr="0006689D">
              <w:t xml:space="preserve"> или через портал – с момента сдачи </w:t>
            </w:r>
            <w:proofErr w:type="spellStart"/>
            <w:r w:rsidRPr="0006689D">
              <w:t>услугополучателем</w:t>
            </w:r>
            <w:proofErr w:type="spellEnd"/>
            <w:r w:rsidRPr="0006689D">
              <w:t xml:space="preserve"> документов не более 30 (тридцати) минут.</w:t>
            </w:r>
          </w:p>
        </w:tc>
      </w:tr>
      <w:tr w:rsidR="0006689D" w:rsidRPr="0006689D" w:rsidTr="00EE65EF">
        <w:tc>
          <w:tcPr>
            <w:tcW w:w="1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4</w:t>
            </w:r>
          </w:p>
        </w:tc>
        <w:tc>
          <w:tcPr>
            <w:tcW w:w="19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Форма оказания государственной услуги</w:t>
            </w:r>
          </w:p>
        </w:tc>
        <w:tc>
          <w:tcPr>
            <w:tcW w:w="28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Электронная (частично автоматизированная) /бумажная</w:t>
            </w:r>
          </w:p>
        </w:tc>
      </w:tr>
      <w:tr w:rsidR="0006689D" w:rsidRPr="0006689D" w:rsidTr="00EE65EF">
        <w:tc>
          <w:tcPr>
            <w:tcW w:w="1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5</w:t>
            </w:r>
          </w:p>
        </w:tc>
        <w:tc>
          <w:tcPr>
            <w:tcW w:w="19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Результат оказания государственной услуги</w:t>
            </w:r>
          </w:p>
        </w:tc>
        <w:tc>
          <w:tcPr>
            <w:tcW w:w="28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Лист о временной нетрудоспособности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06689D" w:rsidRPr="0006689D" w:rsidTr="00EE65EF">
        <w:tc>
          <w:tcPr>
            <w:tcW w:w="1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6</w:t>
            </w:r>
          </w:p>
        </w:tc>
        <w:tc>
          <w:tcPr>
            <w:tcW w:w="19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 xml:space="preserve">Размер оплаты, взимаемой с </w:t>
            </w:r>
            <w:proofErr w:type="spellStart"/>
            <w:r w:rsidRPr="0006689D">
              <w:t>услугополучателя</w:t>
            </w:r>
            <w:proofErr w:type="spellEnd"/>
            <w:r w:rsidRPr="0006689D">
              <w:t xml:space="preserve"> при оказании государственной услуги, и способы ее взимания в случаях, предусмотренных </w:t>
            </w:r>
            <w:r w:rsidRPr="0006689D">
              <w:lastRenderedPageBreak/>
              <w:t>законодательством Республики Казахстан</w:t>
            </w:r>
          </w:p>
        </w:tc>
        <w:tc>
          <w:tcPr>
            <w:tcW w:w="28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lastRenderedPageBreak/>
              <w:t>Бесплатно.</w:t>
            </w:r>
          </w:p>
        </w:tc>
      </w:tr>
      <w:tr w:rsidR="0006689D" w:rsidRPr="0006689D" w:rsidTr="00EE65EF">
        <w:tc>
          <w:tcPr>
            <w:tcW w:w="1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7</w:t>
            </w:r>
          </w:p>
        </w:tc>
        <w:tc>
          <w:tcPr>
            <w:tcW w:w="19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График работы</w:t>
            </w:r>
          </w:p>
        </w:tc>
        <w:tc>
          <w:tcPr>
            <w:tcW w:w="28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 xml:space="preserve">1) </w:t>
            </w:r>
            <w:proofErr w:type="spellStart"/>
            <w:r w:rsidRPr="0006689D">
              <w:t>услугодатель</w:t>
            </w:r>
            <w:proofErr w:type="spellEnd"/>
            <w:r w:rsidRPr="0006689D">
              <w:t xml:space="preserve"> – с 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 (воскресенье) и праздничные дни. Обращения на получение государственной услуги принимаются до 18.00 часов в рабочие дни.</w:t>
            </w:r>
          </w:p>
          <w:p w:rsidR="0006689D" w:rsidRPr="0006689D" w:rsidRDefault="0006689D" w:rsidP="0006689D">
            <w:pPr>
              <w:spacing w:after="223"/>
              <w:jc w:val="both"/>
            </w:pPr>
            <w:r w:rsidRPr="0006689D"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06689D" w:rsidRPr="0006689D" w:rsidTr="00EE65EF">
        <w:tc>
          <w:tcPr>
            <w:tcW w:w="1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8</w:t>
            </w:r>
          </w:p>
        </w:tc>
        <w:tc>
          <w:tcPr>
            <w:tcW w:w="19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Перечень документов, необходимых для оказания государственной услуги</w:t>
            </w:r>
          </w:p>
        </w:tc>
        <w:tc>
          <w:tcPr>
            <w:tcW w:w="28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 xml:space="preserve">1) к </w:t>
            </w:r>
            <w:proofErr w:type="spellStart"/>
            <w:r w:rsidRPr="0006689D">
              <w:t>услугодателю</w:t>
            </w:r>
            <w:proofErr w:type="spellEnd"/>
            <w:r w:rsidRPr="0006689D">
              <w:t>: документ, удостоверяющий личность, либо электронный документ из сервиса цифровых документов (для идентификации);</w:t>
            </w:r>
          </w:p>
          <w:p w:rsidR="0006689D" w:rsidRPr="0006689D" w:rsidRDefault="0006689D" w:rsidP="0006689D">
            <w:pPr>
              <w:spacing w:after="223"/>
              <w:jc w:val="both"/>
            </w:pPr>
            <w:r w:rsidRPr="0006689D">
              <w:t xml:space="preserve">2) на портал: заявление в форме электронного запроса. Сведения о документах, удостоверяющих личность, </w:t>
            </w:r>
            <w:proofErr w:type="spellStart"/>
            <w:r w:rsidRPr="0006689D">
              <w:t>услугодатель</w:t>
            </w:r>
            <w:proofErr w:type="spellEnd"/>
            <w:r w:rsidRPr="0006689D">
              <w:t xml:space="preserve"> получают из сервиса цифровых документов (для идентификации)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веб-портала "электронного правительства.</w:t>
            </w:r>
          </w:p>
        </w:tc>
      </w:tr>
      <w:tr w:rsidR="0006689D" w:rsidRPr="0006689D" w:rsidTr="00EE65EF">
        <w:tc>
          <w:tcPr>
            <w:tcW w:w="1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9</w:t>
            </w:r>
          </w:p>
        </w:tc>
        <w:tc>
          <w:tcPr>
            <w:tcW w:w="19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28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 xml:space="preserve">1) установление недостоверности документа, представленного </w:t>
            </w:r>
            <w:proofErr w:type="spellStart"/>
            <w:r w:rsidRPr="0006689D">
              <w:t>услугополучателем</w:t>
            </w:r>
            <w:proofErr w:type="spellEnd"/>
            <w:r w:rsidRPr="0006689D">
              <w:t xml:space="preserve"> для получения государственной услуги, и (или) данных (сведений), содержащихся в них;</w:t>
            </w:r>
          </w:p>
          <w:p w:rsidR="0006689D" w:rsidRPr="0006689D" w:rsidRDefault="0006689D" w:rsidP="0006689D">
            <w:pPr>
              <w:spacing w:after="223"/>
              <w:jc w:val="both"/>
            </w:pPr>
            <w:r w:rsidRPr="0006689D">
              <w:t xml:space="preserve">2) несоответствие </w:t>
            </w:r>
            <w:proofErr w:type="spellStart"/>
            <w:r w:rsidRPr="0006689D">
              <w:t>услугополучателя</w:t>
            </w:r>
            <w:proofErr w:type="spellEnd"/>
            <w:r w:rsidRPr="0006689D"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 w:rsidR="0006689D" w:rsidRPr="0006689D" w:rsidTr="00EE65EF">
        <w:tc>
          <w:tcPr>
            <w:tcW w:w="1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10</w:t>
            </w:r>
          </w:p>
        </w:tc>
        <w:tc>
          <w:tcPr>
            <w:tcW w:w="19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Иные требования с учетом особенностей оказания государственной услуги</w:t>
            </w:r>
          </w:p>
        </w:tc>
        <w:tc>
          <w:tcPr>
            <w:tcW w:w="28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proofErr w:type="spellStart"/>
            <w:r w:rsidRPr="0006689D">
              <w:t>Услугополучатель</w:t>
            </w:r>
            <w:proofErr w:type="spellEnd"/>
            <w:r w:rsidRPr="0006689D"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06689D">
              <w:t>услугополучателя</w:t>
            </w:r>
            <w:proofErr w:type="spellEnd"/>
            <w:r w:rsidRPr="0006689D">
              <w:t xml:space="preserve"> путем передачи одноразового </w:t>
            </w:r>
            <w:r w:rsidRPr="0006689D">
              <w:lastRenderedPageBreak/>
              <w:t>пароля или путем отправления короткого текстового сообщения в качестве ответа на уведомление портала.</w:t>
            </w:r>
          </w:p>
          <w:p w:rsidR="0006689D" w:rsidRPr="0006689D" w:rsidRDefault="0006689D" w:rsidP="0006689D">
            <w:pPr>
              <w:spacing w:after="223"/>
              <w:jc w:val="both"/>
            </w:pPr>
            <w:proofErr w:type="spellStart"/>
            <w:r w:rsidRPr="0006689D">
              <w:t>Услугополучатель</w:t>
            </w:r>
            <w:proofErr w:type="spellEnd"/>
            <w:r w:rsidRPr="0006689D"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06689D" w:rsidRPr="0006689D" w:rsidRDefault="0006689D" w:rsidP="0006689D">
            <w:pPr>
              <w:spacing w:after="223"/>
              <w:jc w:val="both"/>
            </w:pPr>
            <w:r w:rsidRPr="0006689D"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 w:rsidR="0006689D" w:rsidRPr="0006689D" w:rsidRDefault="0006689D" w:rsidP="0006689D">
            <w:pPr>
              <w:spacing w:after="223"/>
              <w:jc w:val="both"/>
            </w:pPr>
            <w:proofErr w:type="spellStart"/>
            <w:r w:rsidRPr="0006689D">
              <w:t>Услугополучатель</w:t>
            </w:r>
            <w:proofErr w:type="spellEnd"/>
            <w:r w:rsidRPr="0006689D"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 w:rsidRPr="0006689D">
              <w:t>услугодателя</w:t>
            </w:r>
            <w:proofErr w:type="spellEnd"/>
            <w:r w:rsidRPr="0006689D">
              <w:t>, а также Единого контакт-центра "1414", 8-800-080-7777.</w:t>
            </w:r>
          </w:p>
        </w:tc>
      </w:tr>
    </w:tbl>
    <w:p w:rsidR="0006689D" w:rsidRPr="0006689D" w:rsidRDefault="0006689D" w:rsidP="0006689D">
      <w:pPr>
        <w:spacing w:after="223"/>
        <w:jc w:val="right"/>
        <w:rPr>
          <w:rFonts w:ascii="Georgia" w:hAnsi="Georgia"/>
        </w:rPr>
      </w:pPr>
      <w:r w:rsidRPr="0006689D">
        <w:rPr>
          <w:rFonts w:ascii="Georgia" w:hAnsi="Georgia"/>
        </w:rPr>
        <w:lastRenderedPageBreak/>
        <w:t>Приложение 10</w:t>
      </w:r>
      <w:r w:rsidRPr="0006689D">
        <w:rPr>
          <w:rFonts w:ascii="Georgia" w:hAnsi="Georgia"/>
        </w:rPr>
        <w:br/>
        <w:t>к Перечню некоторых приказов</w:t>
      </w:r>
      <w:r w:rsidRPr="0006689D">
        <w:rPr>
          <w:rFonts w:ascii="Georgia" w:hAnsi="Georgia"/>
        </w:rPr>
        <w:br/>
        <w:t>Министерства здравоохранения</w:t>
      </w:r>
      <w:r w:rsidRPr="0006689D">
        <w:rPr>
          <w:rFonts w:ascii="Georgia" w:hAnsi="Georgia"/>
        </w:rPr>
        <w:br/>
        <w:t>Республики Казахстан, в которые</w:t>
      </w:r>
      <w:r w:rsidRPr="0006689D">
        <w:rPr>
          <w:rFonts w:ascii="Georgia" w:hAnsi="Georgia"/>
        </w:rPr>
        <w:br/>
        <w:t>вносятся изменения</w:t>
      </w:r>
    </w:p>
    <w:p w:rsidR="0006689D" w:rsidRPr="0006689D" w:rsidRDefault="0006689D" w:rsidP="0006689D">
      <w:pPr>
        <w:spacing w:after="223"/>
        <w:jc w:val="right"/>
        <w:rPr>
          <w:rFonts w:ascii="Georgia" w:hAnsi="Georgia"/>
        </w:rPr>
      </w:pPr>
      <w:r w:rsidRPr="0006689D">
        <w:rPr>
          <w:rFonts w:ascii="Georgia" w:hAnsi="Georgia"/>
        </w:rPr>
        <w:t>Приложение 3 к Правилам</w:t>
      </w:r>
      <w:r w:rsidRPr="0006689D">
        <w:rPr>
          <w:rFonts w:ascii="Georgia" w:hAnsi="Georgia"/>
        </w:rPr>
        <w:br/>
        <w:t>проведения экспертизы временной</w:t>
      </w:r>
      <w:r w:rsidRPr="0006689D">
        <w:rPr>
          <w:rFonts w:ascii="Georgia" w:hAnsi="Georgia"/>
        </w:rPr>
        <w:br/>
        <w:t>нетрудоспособности, выдачи листа</w:t>
      </w:r>
      <w:r w:rsidRPr="0006689D">
        <w:rPr>
          <w:rFonts w:ascii="Georgia" w:hAnsi="Georgia"/>
        </w:rPr>
        <w:br/>
        <w:t>или справки о временной</w:t>
      </w:r>
      <w:r w:rsidRPr="0006689D">
        <w:rPr>
          <w:rFonts w:ascii="Georgia" w:hAnsi="Georgia"/>
        </w:rPr>
        <w:br/>
        <w:t>нетрудоспособности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0"/>
        <w:gridCol w:w="4058"/>
        <w:gridCol w:w="4807"/>
      </w:tblGrid>
      <w:tr w:rsidR="0006689D" w:rsidRPr="0006689D" w:rsidTr="00EE65EF">
        <w:tc>
          <w:tcPr>
            <w:tcW w:w="5000" w:type="pct"/>
            <w:gridSpan w:val="3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rPr>
                <w:b/>
                <w:bCs/>
              </w:rPr>
              <w:t>Перечень основных требований к оказанию государственной услуги</w:t>
            </w:r>
            <w:r w:rsidRPr="0006689D">
              <w:rPr>
                <w:b/>
                <w:bCs/>
              </w:rPr>
              <w:br/>
              <w:t>"Выдача справки о временной нетрудоспособности"</w:t>
            </w:r>
          </w:p>
        </w:tc>
      </w:tr>
      <w:tr w:rsidR="0006689D" w:rsidRPr="0006689D" w:rsidTr="00EE65EF">
        <w:tc>
          <w:tcPr>
            <w:tcW w:w="100" w:type="pct"/>
            <w:hideMark/>
          </w:tcPr>
          <w:p w:rsidR="0006689D" w:rsidRPr="0006689D" w:rsidRDefault="0006689D" w:rsidP="000668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06689D">
              <w:rPr>
                <w:rFonts w:eastAsia="Times New Roman"/>
              </w:rPr>
              <w:t> </w:t>
            </w:r>
          </w:p>
        </w:tc>
        <w:tc>
          <w:tcPr>
            <w:tcW w:w="22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 xml:space="preserve">Наименование </w:t>
            </w:r>
            <w:proofErr w:type="spellStart"/>
            <w:r w:rsidRPr="0006689D">
              <w:t>услугодателя</w:t>
            </w:r>
            <w:proofErr w:type="spellEnd"/>
          </w:p>
        </w:tc>
        <w:tc>
          <w:tcPr>
            <w:tcW w:w="26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Субъекты здравоохранения.</w:t>
            </w:r>
          </w:p>
        </w:tc>
      </w:tr>
      <w:tr w:rsidR="0006689D" w:rsidRPr="0006689D" w:rsidTr="00EE65EF">
        <w:tc>
          <w:tcPr>
            <w:tcW w:w="100" w:type="pct"/>
            <w:vMerge w:val="restart"/>
            <w:hideMark/>
          </w:tcPr>
          <w:p w:rsidR="0006689D" w:rsidRPr="0006689D" w:rsidRDefault="0006689D" w:rsidP="0006689D">
            <w:pPr>
              <w:rPr>
                <w:rFonts w:eastAsia="Times New Roman"/>
              </w:rPr>
            </w:pPr>
            <w:r w:rsidRPr="0006689D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2250" w:type="pct"/>
            <w:vMerge w:val="restar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Способы предоставления государственной услуги</w:t>
            </w:r>
          </w:p>
        </w:tc>
        <w:tc>
          <w:tcPr>
            <w:tcW w:w="26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 xml:space="preserve">1) </w:t>
            </w:r>
            <w:proofErr w:type="spellStart"/>
            <w:r w:rsidRPr="0006689D">
              <w:t>услугодатель</w:t>
            </w:r>
            <w:proofErr w:type="spellEnd"/>
            <w:r w:rsidRPr="0006689D">
              <w:t xml:space="preserve"> (при непосредственных обращениях);</w:t>
            </w:r>
          </w:p>
        </w:tc>
      </w:tr>
      <w:tr w:rsidR="0006689D" w:rsidRPr="0006689D" w:rsidTr="00EE65EF">
        <w:tc>
          <w:tcPr>
            <w:tcW w:w="0" w:type="auto"/>
            <w:vMerge/>
            <w:vAlign w:val="center"/>
            <w:hideMark/>
          </w:tcPr>
          <w:p w:rsidR="0006689D" w:rsidRPr="0006689D" w:rsidRDefault="0006689D" w:rsidP="000668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89D" w:rsidRPr="0006689D" w:rsidRDefault="0006689D" w:rsidP="0006689D"/>
        </w:tc>
        <w:tc>
          <w:tcPr>
            <w:tcW w:w="26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2) веб-портал "Электронного правительства" (далее – портал).</w:t>
            </w:r>
          </w:p>
        </w:tc>
      </w:tr>
      <w:tr w:rsidR="0006689D" w:rsidRPr="0006689D" w:rsidTr="00EE65EF">
        <w:tc>
          <w:tcPr>
            <w:tcW w:w="100" w:type="pct"/>
            <w:hideMark/>
          </w:tcPr>
          <w:p w:rsidR="0006689D" w:rsidRPr="0006689D" w:rsidRDefault="0006689D" w:rsidP="0006689D">
            <w:pPr>
              <w:rPr>
                <w:rFonts w:eastAsia="Times New Roman"/>
              </w:rPr>
            </w:pPr>
            <w:r w:rsidRPr="0006689D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22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Срок оказания государственной услуги</w:t>
            </w:r>
          </w:p>
        </w:tc>
        <w:tc>
          <w:tcPr>
            <w:tcW w:w="26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 xml:space="preserve">при самостоятельном обращении к </w:t>
            </w:r>
            <w:proofErr w:type="spellStart"/>
            <w:r w:rsidRPr="0006689D">
              <w:t>услугодателю</w:t>
            </w:r>
            <w:proofErr w:type="spellEnd"/>
            <w:r w:rsidRPr="0006689D">
              <w:t xml:space="preserve"> или через портал – с момента сдачи </w:t>
            </w:r>
            <w:proofErr w:type="spellStart"/>
            <w:r w:rsidRPr="0006689D">
              <w:t>услугополучателем</w:t>
            </w:r>
            <w:proofErr w:type="spellEnd"/>
            <w:r w:rsidRPr="0006689D">
              <w:t xml:space="preserve"> документов не более 30 (тридцати) минут.</w:t>
            </w:r>
          </w:p>
        </w:tc>
      </w:tr>
      <w:tr w:rsidR="0006689D" w:rsidRPr="0006689D" w:rsidTr="00EE65EF">
        <w:tc>
          <w:tcPr>
            <w:tcW w:w="100" w:type="pct"/>
            <w:hideMark/>
          </w:tcPr>
          <w:p w:rsidR="0006689D" w:rsidRPr="0006689D" w:rsidRDefault="0006689D" w:rsidP="0006689D">
            <w:pPr>
              <w:rPr>
                <w:rFonts w:eastAsia="Times New Roman"/>
              </w:rPr>
            </w:pPr>
            <w:r w:rsidRPr="0006689D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22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Форма оказания государственной услуги</w:t>
            </w:r>
          </w:p>
        </w:tc>
        <w:tc>
          <w:tcPr>
            <w:tcW w:w="26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Электронная (частично автоматизированная) /бумажная</w:t>
            </w:r>
          </w:p>
        </w:tc>
      </w:tr>
      <w:tr w:rsidR="0006689D" w:rsidRPr="0006689D" w:rsidTr="00EE65EF">
        <w:tc>
          <w:tcPr>
            <w:tcW w:w="100" w:type="pct"/>
            <w:hideMark/>
          </w:tcPr>
          <w:p w:rsidR="0006689D" w:rsidRPr="0006689D" w:rsidRDefault="0006689D" w:rsidP="0006689D">
            <w:pPr>
              <w:rPr>
                <w:rFonts w:eastAsia="Times New Roman"/>
              </w:rPr>
            </w:pPr>
            <w:r w:rsidRPr="0006689D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22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Результат оказания государственной услуги</w:t>
            </w:r>
          </w:p>
        </w:tc>
        <w:tc>
          <w:tcPr>
            <w:tcW w:w="26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Справка о временной нетрудоспособности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 w:rsidR="0006689D" w:rsidRPr="0006689D" w:rsidTr="00EE65EF">
        <w:tc>
          <w:tcPr>
            <w:tcW w:w="100" w:type="pct"/>
            <w:hideMark/>
          </w:tcPr>
          <w:p w:rsidR="0006689D" w:rsidRPr="0006689D" w:rsidRDefault="0006689D" w:rsidP="0006689D">
            <w:pPr>
              <w:rPr>
                <w:rFonts w:eastAsia="Times New Roman"/>
              </w:rPr>
            </w:pPr>
            <w:r w:rsidRPr="0006689D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5</w:t>
            </w:r>
          </w:p>
        </w:tc>
        <w:tc>
          <w:tcPr>
            <w:tcW w:w="225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 xml:space="preserve">Размер оплаты, взимаемой с </w:t>
            </w:r>
            <w:proofErr w:type="spellStart"/>
            <w:r w:rsidRPr="0006689D">
              <w:t>услугополучателя</w:t>
            </w:r>
            <w:proofErr w:type="spellEnd"/>
            <w:r w:rsidRPr="0006689D"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6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Бесплатно.</w:t>
            </w:r>
          </w:p>
        </w:tc>
      </w:tr>
      <w:tr w:rsidR="0006689D" w:rsidRPr="0006689D" w:rsidTr="00EE65EF">
        <w:tc>
          <w:tcPr>
            <w:tcW w:w="100" w:type="pct"/>
            <w:vMerge w:val="restart"/>
            <w:hideMark/>
          </w:tcPr>
          <w:p w:rsidR="0006689D" w:rsidRPr="0006689D" w:rsidRDefault="0006689D" w:rsidP="0006689D">
            <w:pPr>
              <w:rPr>
                <w:rFonts w:eastAsia="Times New Roman"/>
              </w:rPr>
            </w:pPr>
            <w:r w:rsidRPr="0006689D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6</w:t>
            </w:r>
          </w:p>
        </w:tc>
        <w:tc>
          <w:tcPr>
            <w:tcW w:w="2250" w:type="pct"/>
            <w:vMerge w:val="restar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График работы</w:t>
            </w:r>
          </w:p>
        </w:tc>
        <w:tc>
          <w:tcPr>
            <w:tcW w:w="26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 xml:space="preserve">1) </w:t>
            </w:r>
            <w:proofErr w:type="spellStart"/>
            <w:r w:rsidRPr="0006689D">
              <w:t>услугодатель</w:t>
            </w:r>
            <w:proofErr w:type="spellEnd"/>
            <w:r w:rsidRPr="0006689D">
              <w:t xml:space="preserve"> – с понедельника по субботу (понедельник – пятница с 8.00 до 20.00 часов без перерыва, в субботу с 9.00 до 14.00 часов), с обеспечением работы дежурных врачей в выходные</w:t>
            </w:r>
          </w:p>
        </w:tc>
      </w:tr>
      <w:tr w:rsidR="0006689D" w:rsidRPr="0006689D" w:rsidTr="00EE65EF">
        <w:tc>
          <w:tcPr>
            <w:tcW w:w="0" w:type="auto"/>
            <w:vMerge/>
            <w:vAlign w:val="center"/>
            <w:hideMark/>
          </w:tcPr>
          <w:p w:rsidR="0006689D" w:rsidRPr="0006689D" w:rsidRDefault="0006689D" w:rsidP="000668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89D" w:rsidRPr="0006689D" w:rsidRDefault="0006689D" w:rsidP="0006689D"/>
        </w:tc>
        <w:tc>
          <w:tcPr>
            <w:tcW w:w="26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2) портал – круглосуточно, за исключением технических перерывов в связи с проведением ремонтных работ.</w:t>
            </w:r>
          </w:p>
        </w:tc>
      </w:tr>
      <w:tr w:rsidR="0006689D" w:rsidRPr="0006689D" w:rsidTr="00EE65EF">
        <w:tc>
          <w:tcPr>
            <w:tcW w:w="100" w:type="pct"/>
            <w:vMerge w:val="restart"/>
            <w:hideMark/>
          </w:tcPr>
          <w:p w:rsidR="0006689D" w:rsidRPr="0006689D" w:rsidRDefault="0006689D" w:rsidP="0006689D">
            <w:pPr>
              <w:rPr>
                <w:rFonts w:eastAsia="Times New Roman"/>
              </w:rPr>
            </w:pPr>
            <w:r w:rsidRPr="0006689D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2250" w:type="pct"/>
            <w:vMerge w:val="restar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Перечень документов, необходимых для оказания государственной услуги</w:t>
            </w:r>
          </w:p>
        </w:tc>
        <w:tc>
          <w:tcPr>
            <w:tcW w:w="26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 xml:space="preserve">1) к </w:t>
            </w:r>
            <w:proofErr w:type="spellStart"/>
            <w:r w:rsidRPr="0006689D">
              <w:t>услугодателю</w:t>
            </w:r>
            <w:proofErr w:type="spellEnd"/>
            <w:r w:rsidRPr="0006689D">
              <w:t>: документ, удостоверяющий личность, либо электронного документа из сервиса цифровых документов (для идентификации)</w:t>
            </w:r>
          </w:p>
        </w:tc>
      </w:tr>
      <w:tr w:rsidR="0006689D" w:rsidRPr="0006689D" w:rsidTr="00EE65EF">
        <w:tc>
          <w:tcPr>
            <w:tcW w:w="0" w:type="auto"/>
            <w:vMerge/>
            <w:vAlign w:val="center"/>
            <w:hideMark/>
          </w:tcPr>
          <w:p w:rsidR="0006689D" w:rsidRPr="0006689D" w:rsidRDefault="0006689D" w:rsidP="000668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89D" w:rsidRPr="0006689D" w:rsidRDefault="0006689D" w:rsidP="0006689D"/>
        </w:tc>
        <w:tc>
          <w:tcPr>
            <w:tcW w:w="26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2) на портал: заявление в форме электронного запроса.</w:t>
            </w:r>
          </w:p>
        </w:tc>
      </w:tr>
      <w:tr w:rsidR="0006689D" w:rsidRPr="0006689D" w:rsidTr="00EE65EF">
        <w:tc>
          <w:tcPr>
            <w:tcW w:w="0" w:type="auto"/>
            <w:vMerge/>
            <w:vAlign w:val="center"/>
            <w:hideMark/>
          </w:tcPr>
          <w:p w:rsidR="0006689D" w:rsidRPr="0006689D" w:rsidRDefault="0006689D" w:rsidP="000668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89D" w:rsidRPr="0006689D" w:rsidRDefault="0006689D" w:rsidP="0006689D"/>
        </w:tc>
        <w:tc>
          <w:tcPr>
            <w:tcW w:w="26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 xml:space="preserve">Сведения о документах, удостоверяющих личность, </w:t>
            </w:r>
            <w:proofErr w:type="spellStart"/>
            <w:r w:rsidRPr="0006689D">
              <w:t>услугодатель</w:t>
            </w:r>
            <w:proofErr w:type="spellEnd"/>
            <w:r w:rsidRPr="0006689D">
              <w:t xml:space="preserve"> получают из соответствующих государственных информационных систем через шлюз "Электронного правительства".</w:t>
            </w:r>
          </w:p>
        </w:tc>
      </w:tr>
      <w:tr w:rsidR="0006689D" w:rsidRPr="0006689D" w:rsidTr="00EE65EF">
        <w:tc>
          <w:tcPr>
            <w:tcW w:w="100" w:type="pct"/>
            <w:vMerge w:val="restart"/>
            <w:hideMark/>
          </w:tcPr>
          <w:p w:rsidR="0006689D" w:rsidRPr="0006689D" w:rsidRDefault="0006689D" w:rsidP="0006689D">
            <w:pPr>
              <w:rPr>
                <w:rFonts w:eastAsia="Times New Roman"/>
              </w:rPr>
            </w:pPr>
            <w:r w:rsidRPr="0006689D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2250" w:type="pct"/>
            <w:vMerge w:val="restar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26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 xml:space="preserve">1) установление недостоверности документа, представленного </w:t>
            </w:r>
            <w:proofErr w:type="spellStart"/>
            <w:r w:rsidRPr="0006689D">
              <w:t>услугополучателем</w:t>
            </w:r>
            <w:proofErr w:type="spellEnd"/>
            <w:r w:rsidRPr="0006689D">
              <w:t xml:space="preserve"> для получения государственной услуги, и (или) данных (сведений), содержащихся в них;</w:t>
            </w:r>
          </w:p>
        </w:tc>
      </w:tr>
      <w:tr w:rsidR="0006689D" w:rsidRPr="0006689D" w:rsidTr="00EE65EF">
        <w:tc>
          <w:tcPr>
            <w:tcW w:w="0" w:type="auto"/>
            <w:vMerge/>
            <w:vAlign w:val="center"/>
            <w:hideMark/>
          </w:tcPr>
          <w:p w:rsidR="0006689D" w:rsidRPr="0006689D" w:rsidRDefault="0006689D" w:rsidP="0006689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89D" w:rsidRPr="0006689D" w:rsidRDefault="0006689D" w:rsidP="0006689D"/>
        </w:tc>
        <w:tc>
          <w:tcPr>
            <w:tcW w:w="26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r w:rsidRPr="0006689D">
              <w:t xml:space="preserve">2) несоответствие </w:t>
            </w:r>
            <w:proofErr w:type="spellStart"/>
            <w:r w:rsidRPr="0006689D">
              <w:t>услугополучателя</w:t>
            </w:r>
            <w:proofErr w:type="spellEnd"/>
            <w:r w:rsidRPr="0006689D">
              <w:t xml:space="preserve"> и (или) представленных материалов, объектов, данных и сведений, необходимых для оказания государственной услуги, </w:t>
            </w:r>
            <w:r w:rsidRPr="0006689D">
              <w:lastRenderedPageBreak/>
              <w:t>требованиям, установленным настоящими Правилами.</w:t>
            </w:r>
          </w:p>
        </w:tc>
      </w:tr>
      <w:tr w:rsidR="0006689D" w:rsidRPr="0006689D" w:rsidTr="00EE65EF">
        <w:tc>
          <w:tcPr>
            <w:tcW w:w="100" w:type="pct"/>
            <w:hideMark/>
          </w:tcPr>
          <w:p w:rsidR="0006689D" w:rsidRPr="0006689D" w:rsidRDefault="0006689D" w:rsidP="0006689D">
            <w:pPr>
              <w:rPr>
                <w:rFonts w:eastAsia="Times New Roman"/>
              </w:rPr>
            </w:pPr>
            <w:r w:rsidRPr="0006689D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2250" w:type="pct"/>
            <w:hideMark/>
          </w:tcPr>
          <w:p w:rsidR="0006689D" w:rsidRPr="0006689D" w:rsidRDefault="0006689D" w:rsidP="0006689D">
            <w:pPr>
              <w:rPr>
                <w:rFonts w:eastAsia="Times New Roman"/>
              </w:rPr>
            </w:pPr>
            <w:r w:rsidRPr="0006689D">
              <w:rPr>
                <w:rFonts w:eastAsia="Times New Roman"/>
              </w:rPr>
              <w:t> </w:t>
            </w:r>
          </w:p>
        </w:tc>
        <w:tc>
          <w:tcPr>
            <w:tcW w:w="2600" w:type="pct"/>
            <w:hideMark/>
          </w:tcPr>
          <w:p w:rsidR="0006689D" w:rsidRPr="0006689D" w:rsidRDefault="0006689D" w:rsidP="0006689D">
            <w:pPr>
              <w:spacing w:after="223"/>
              <w:jc w:val="both"/>
            </w:pPr>
            <w:proofErr w:type="spellStart"/>
            <w:r w:rsidRPr="0006689D">
              <w:t>Услугополучатель</w:t>
            </w:r>
            <w:proofErr w:type="spellEnd"/>
            <w:r w:rsidRPr="0006689D">
              <w:t xml:space="preserve"> имеет возможность получения информации по телефону Единого контактного-центра по вопросам оказания государственных услуг: 8-800-080-7777, 1414.</w:t>
            </w:r>
          </w:p>
        </w:tc>
      </w:tr>
    </w:tbl>
    <w:p w:rsidR="00F62B4D" w:rsidRDefault="00F62B4D">
      <w:bookmarkStart w:id="0" w:name="_GoBack"/>
      <w:bookmarkEnd w:id="0"/>
    </w:p>
    <w:sectPr w:rsidR="00F6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9D"/>
    <w:rsid w:val="0006689D"/>
    <w:rsid w:val="00F6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E842"/>
  <w15:chartTrackingRefBased/>
  <w15:docId w15:val="{4BF72E5E-50EA-465B-8830-75E711A9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6689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689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2024-03-04T05:35:00Z</dcterms:created>
  <dcterms:modified xsi:type="dcterms:W3CDTF">2024-03-04T05:38:00Z</dcterms:modified>
</cp:coreProperties>
</file>